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Обеспечение беспрепятственного доступа в здания образовательной организации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firstLine="60"/>
        <w:jc w:val="both"/>
        <w:rPr>
          <w:b w:val="1"/>
          <w:color w:val="555555"/>
        </w:rPr>
      </w:pPr>
      <w:r w:rsidDel="00000000" w:rsidR="00000000" w:rsidRPr="00000000">
        <w:rPr>
          <w:b w:val="1"/>
          <w:color w:val="555555"/>
          <w:rtl w:val="0"/>
        </w:rPr>
        <w:t xml:space="preserve">Имеется место парковки автотранспорта инвалида на удалении не более 50 метров с установкой знака «Инвалид»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firstLine="60"/>
        <w:jc w:val="both"/>
        <w:rPr>
          <w:b w:val="1"/>
          <w:color w:val="555555"/>
        </w:rPr>
      </w:pPr>
      <w:r w:rsidDel="00000000" w:rsidR="00000000" w:rsidRPr="00000000">
        <w:rPr>
          <w:b w:val="1"/>
          <w:color w:val="555555"/>
          <w:rtl w:val="0"/>
        </w:rPr>
        <w:t xml:space="preserve">- имеется вывеска с указанием наименования учреждения с азбукой Брайля около главного входа на территорию учреждения и в фойе здания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firstLine="60"/>
        <w:jc w:val="both"/>
        <w:rPr>
          <w:b w:val="1"/>
          <w:color w:val="555555"/>
        </w:rPr>
      </w:pPr>
      <w:r w:rsidDel="00000000" w:rsidR="00000000" w:rsidRPr="00000000">
        <w:rPr>
          <w:b w:val="1"/>
          <w:color w:val="555555"/>
          <w:rtl w:val="0"/>
        </w:rPr>
        <w:t xml:space="preserve">-установлены электронные носители статической и динамической информации (2 табло)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firstLine="60"/>
        <w:jc w:val="both"/>
        <w:rPr>
          <w:b w:val="1"/>
          <w:color w:val="555555"/>
        </w:rPr>
      </w:pPr>
      <w:r w:rsidDel="00000000" w:rsidR="00000000" w:rsidRPr="00000000">
        <w:rPr>
          <w:b w:val="1"/>
          <w:color w:val="555555"/>
          <w:rtl w:val="0"/>
        </w:rPr>
        <w:t xml:space="preserve">- имеется пандус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firstLine="60"/>
        <w:jc w:val="both"/>
        <w:rPr>
          <w:b w:val="1"/>
          <w:color w:val="555555"/>
        </w:rPr>
      </w:pPr>
      <w:r w:rsidDel="00000000" w:rsidR="00000000" w:rsidRPr="00000000">
        <w:rPr>
          <w:b w:val="1"/>
          <w:color w:val="555555"/>
          <w:rtl w:val="0"/>
        </w:rPr>
        <w:t xml:space="preserve">- дверные проемы выделены контрастной маркировкой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firstLine="60"/>
        <w:jc w:val="both"/>
        <w:rPr>
          <w:b w:val="1"/>
          <w:color w:val="555555"/>
        </w:rPr>
      </w:pPr>
      <w:r w:rsidDel="00000000" w:rsidR="00000000" w:rsidRPr="00000000">
        <w:rPr>
          <w:b w:val="1"/>
          <w:color w:val="555555"/>
          <w:rtl w:val="0"/>
        </w:rPr>
        <w:t xml:space="preserve">- имеется звонок на входной двери и в санузле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firstLine="60"/>
        <w:jc w:val="both"/>
        <w:rPr>
          <w:b w:val="1"/>
          <w:color w:val="555555"/>
        </w:rPr>
      </w:pPr>
      <w:r w:rsidDel="00000000" w:rsidR="00000000" w:rsidRPr="00000000">
        <w:rPr>
          <w:b w:val="1"/>
          <w:color w:val="555555"/>
          <w:rtl w:val="0"/>
        </w:rPr>
        <w:t xml:space="preserve">- санузел оборудован поручнями (рядом с унитазом и умывальником), локтевым смесителем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firstLine="60"/>
        <w:jc w:val="both"/>
        <w:rPr>
          <w:b w:val="1"/>
          <w:color w:val="555555"/>
        </w:rPr>
      </w:pPr>
      <w:r w:rsidDel="00000000" w:rsidR="00000000" w:rsidRPr="00000000">
        <w:rPr>
          <w:b w:val="1"/>
          <w:color w:val="555555"/>
          <w:rtl w:val="0"/>
        </w:rPr>
        <w:t xml:space="preserve">- в коридорах и на лестничных пролетах установлены поручни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